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" w:type="pct"/>
        <w:tblCellSpacing w:w="0" w:type="dxa"/>
        <w:tblInd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0"/>
      </w:tblGrid>
      <w:tr w:rsidR="007B06E2" w:rsidRPr="00647700" w:rsidTr="00647700">
        <w:trPr>
          <w:gridAfter w:val="1"/>
          <w:wAfter w:w="30" w:type="pct"/>
          <w:tblCellSpacing w:w="0" w:type="dxa"/>
        </w:trPr>
        <w:tc>
          <w:tcPr>
            <w:tcW w:w="4970" w:type="pct"/>
            <w:hideMark/>
          </w:tcPr>
          <w:p w:rsidR="00D02B51" w:rsidRPr="00647700" w:rsidRDefault="00D02B51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00" w:rsidRPr="00647700" w:rsidTr="00647700">
        <w:trPr>
          <w:tblCellSpacing w:w="0" w:type="dxa"/>
        </w:trPr>
        <w:tc>
          <w:tcPr>
            <w:tcW w:w="5000" w:type="pct"/>
            <w:gridSpan w:val="2"/>
            <w:hideMark/>
          </w:tcPr>
          <w:p w:rsidR="00647700" w:rsidRDefault="00647700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765"/>
            <w:bookmarkEnd w:id="0"/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</w:p>
          <w:p w:rsidR="00647700" w:rsidRPr="00647700" w:rsidRDefault="00647700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00" w:rsidRPr="00647700" w:rsidRDefault="00647700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Наказ Головного управління ДПС у Сумській області </w:t>
            </w:r>
          </w:p>
          <w:p w:rsidR="00545570" w:rsidRPr="00545570" w:rsidRDefault="00545570" w:rsidP="005455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7700" w:rsidRPr="00647700" w:rsidRDefault="00545570" w:rsidP="005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від 29.03. 2021р. № 94-о</w:t>
            </w:r>
          </w:p>
        </w:tc>
      </w:tr>
    </w:tbl>
    <w:p w:rsidR="00254749" w:rsidRPr="00647700" w:rsidRDefault="00254749" w:rsidP="006477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95"/>
      <w:bookmarkEnd w:id="1"/>
    </w:p>
    <w:p w:rsidR="007B06E2" w:rsidRPr="00647700" w:rsidRDefault="007B06E2" w:rsidP="006477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7700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647700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647700" w:rsidRDefault="00476768" w:rsidP="006477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7700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</w:t>
      </w:r>
      <w:r w:rsidR="00EF6999" w:rsidRPr="00647700">
        <w:rPr>
          <w:rFonts w:ascii="Times New Roman" w:hAnsi="Times New Roman" w:cs="Times New Roman"/>
          <w:sz w:val="24"/>
          <w:szCs w:val="24"/>
        </w:rPr>
        <w:t>Б</w:t>
      </w:r>
      <w:r w:rsidRPr="00647700">
        <w:rPr>
          <w:rFonts w:ascii="Times New Roman" w:hAnsi="Times New Roman" w:cs="Times New Roman"/>
          <w:sz w:val="24"/>
          <w:szCs w:val="24"/>
        </w:rPr>
        <w:t>» -</w:t>
      </w:r>
    </w:p>
    <w:p w:rsidR="00476768" w:rsidRDefault="00783D9F" w:rsidP="00647700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завідувача  юридичного сектору</w:t>
      </w:r>
    </w:p>
    <w:p w:rsidR="00647700" w:rsidRPr="00647700" w:rsidRDefault="00647700" w:rsidP="006477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6667"/>
      </w:tblGrid>
      <w:tr w:rsidR="007B06E2" w:rsidRPr="00647700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роботу та здійснює керівництво діяльністю юридичного сектору;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законність діяльності ГУ ДПС;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представництво в установленому законодавством порядку інтересів ДПС, ГУ у судах та інших органах під час розгляду трудових та господарських спорів;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перегляд рішень ГУ ДПС під час проведення процедури адміністративного оскарження;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поточне планування діяльності сектору, готує пропозиції щодо формування плану роботи ГУ;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системну оцінку рівня виконавської дисципліни у секторі виконання контрольних завдань;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роботі комісій, робочих груп, що створюються в ГУ ДПС;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вживає у межах компетенції заходи щодо запобігання та протидії корупції, здійснює контроль за їх реалізацією;</w:t>
            </w:r>
          </w:p>
          <w:p w:rsidR="00EC2B86" w:rsidRPr="00EC2B86" w:rsidRDefault="00EC2B86" w:rsidP="00EC2B86">
            <w:pPr>
              <w:widowControl w:val="0"/>
              <w:autoSpaceDE w:val="0"/>
              <w:autoSpaceDN w:val="0"/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загальне діловодство;</w:t>
            </w:r>
          </w:p>
          <w:p w:rsidR="00D02B51" w:rsidRPr="00647700" w:rsidRDefault="00EC2B86" w:rsidP="00EC2B86">
            <w:pPr>
              <w:spacing w:after="0" w:line="0" w:lineRule="atLeast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 інші повноваження, визначені чинним законодавством, Положенням про ГУ ДПС, Положенням про юридичний сектор  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647700" w:rsidRDefault="00476768" w:rsidP="00647700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EF6999"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3D9F"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грн.</w:t>
            </w:r>
          </w:p>
          <w:p w:rsidR="00D02B51" w:rsidRPr="00EC2B86" w:rsidRDefault="00476768" w:rsidP="00EC2B86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надбавки, доплати, премії та компенсації – відповідно до статті  52 Закону України «Про державну службу»; 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службовців»(із змінами) 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476768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999" w:rsidRPr="00647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EF6999" w:rsidRPr="00647700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647700" w:rsidRDefault="00476768" w:rsidP="00647700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647700" w:rsidRDefault="00476768" w:rsidP="00647700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DD541D">
              <w:t>2</w:t>
            </w:r>
            <w:r w:rsidR="00DD541D">
              <w:rPr>
                <w:vertAlign w:val="superscript"/>
              </w:rPr>
              <w:t>1</w:t>
            </w: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647700" w:rsidRDefault="00476768" w:rsidP="00647700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647700" w:rsidRDefault="00476768" w:rsidP="00647700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 w:rsidRPr="0064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громадянство України;</w:t>
            </w:r>
          </w:p>
          <w:p w:rsidR="00476768" w:rsidRPr="00647700" w:rsidRDefault="00476768" w:rsidP="00647700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647700" w:rsidRDefault="00476768" w:rsidP="00647700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647700" w:rsidRDefault="00476768" w:rsidP="00647700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D02B51" w:rsidRPr="00647700" w:rsidRDefault="00476768" w:rsidP="00647700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Pr="006477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6477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00 хв. </w:t>
            </w:r>
            <w:r w:rsidR="00545570"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 квітня 2021 року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0" w:rsidRPr="004A3EAE" w:rsidRDefault="00545570" w:rsidP="00545570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09 квітня  2021 року 10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545570" w:rsidRDefault="00545570" w:rsidP="00545570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13 (проведення тестування за фізичної присутності кандидатів)</w:t>
            </w:r>
          </w:p>
          <w:p w:rsidR="007A26EF" w:rsidRPr="004A3EAE" w:rsidRDefault="007A26EF" w:rsidP="007A26EF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співбесіди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7A26EF" w:rsidRPr="004A3EAE" w:rsidRDefault="007A26EF" w:rsidP="00545570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545570" w:rsidRPr="004A3EAE" w:rsidRDefault="00545570" w:rsidP="00545570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додатково.</w:t>
            </w:r>
          </w:p>
          <w:p w:rsidR="00D02B51" w:rsidRPr="00647700" w:rsidRDefault="00D02B51" w:rsidP="00647700">
            <w:pPr>
              <w:spacing w:after="0" w:line="0" w:lineRule="atLeast"/>
              <w:ind w:left="187" w:right="146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47700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Pr="00647700" w:rsidRDefault="004234DA" w:rsidP="006477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8-0542-685-105</w:t>
            </w:r>
          </w:p>
          <w:p w:rsidR="004234DA" w:rsidRPr="00647700" w:rsidRDefault="004234DA" w:rsidP="006477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647700" w:rsidRDefault="004234DA" w:rsidP="006477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e-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647700" w:rsidRDefault="00D02B51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647700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1B10E6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4770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  <w:r w:rsidR="00EF6999"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9F" w:rsidRPr="00647700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r w:rsidR="00EF6999"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спрямування</w:t>
            </w:r>
          </w:p>
        </w:tc>
      </w:tr>
      <w:tr w:rsidR="004234DA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1B10E6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47700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783D9F" w:rsidP="00647700">
            <w:pPr>
              <w:spacing w:after="0" w:line="0" w:lineRule="atLeast"/>
              <w:ind w:left="142" w:right="14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4234DA" w:rsidRPr="00647700" w:rsidTr="00647700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1B10E6" w:rsidP="00647700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647700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647700" w:rsidRDefault="004234DA" w:rsidP="006477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647700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647700" w:rsidTr="00647700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647700" w:rsidRDefault="007B06E2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Лідерство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Pr="00647700" w:rsidRDefault="00783D9F" w:rsidP="0064770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вміння мотивувати до ефективної професійної діяльності;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сприяння всебічному розвитку особистості;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вміння делегувати повноваження та управляти результатами діяльності;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Впровадження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змін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Pr="00647700" w:rsidRDefault="00783D9F" w:rsidP="0064770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орієнтація на реорганізацію для спрощення, підвищення прозорості та ефективності;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здатність впроваджувати інноваційні рішення, рішучість та орієнтованість на результат;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вміння оцінювати ефективність впровадження змін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Прийняття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ефективних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рішень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Pr="00647700" w:rsidRDefault="00783D9F" w:rsidP="0064770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здатність приймати вчасні та виважені рішення;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аналіз альтернатив;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спроможність іти на виважений ризик;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автономність та ініціативність щодо пропозицій і рішень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 xml:space="preserve">   4. 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 w:right="142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Командна робота та взаємодія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- орієнтація на командний результат;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 готовність працювати в команді та сприяти колегам у їх професійній діяльності задля досягнення спільних цілей;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відкритість в обміні інформацією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rPr>
                <w:rStyle w:val="212pt"/>
              </w:rPr>
            </w:pPr>
            <w:r w:rsidRPr="00647700">
              <w:rPr>
                <w:rStyle w:val="212pt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Якісне виконання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поставлених</w:t>
            </w:r>
          </w:p>
          <w:p w:rsidR="00783D9F" w:rsidRPr="00647700" w:rsidRDefault="00783D9F" w:rsidP="00647700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завдань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Pr="00647700" w:rsidRDefault="00783D9F" w:rsidP="0064770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783D9F" w:rsidRPr="00647700" w:rsidRDefault="00783D9F" w:rsidP="0064770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241" w:right="288"/>
              <w:jc w:val="both"/>
              <w:rPr>
                <w:sz w:val="24"/>
                <w:szCs w:val="24"/>
              </w:rPr>
            </w:pPr>
            <w:r w:rsidRPr="00647700"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83D9F" w:rsidRPr="00647700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783D9F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83D9F" w:rsidRPr="00647700" w:rsidTr="00647700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783D9F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783D9F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83D9F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783D9F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783D9F" w:rsidP="00647700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    Знання </w:t>
            </w:r>
            <w:r w:rsidR="006477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9F" w:rsidRPr="00647700" w:rsidRDefault="00000F21" w:rsidP="00696D4C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647700">
              <w:t xml:space="preserve">Знання: </w:t>
            </w:r>
            <w:r w:rsidRPr="00647700">
              <w:br/>
            </w:r>
            <w:hyperlink r:id="rId6" w:tgtFrame="_blank" w:history="1">
              <w:r w:rsidRPr="00647700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647700">
              <w:t xml:space="preserve">; </w:t>
            </w:r>
            <w:r w:rsidRPr="00647700">
              <w:br/>
            </w:r>
            <w:hyperlink r:id="rId7" w:tgtFrame="_blank" w:history="1">
              <w:r w:rsidRPr="00647700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647700">
              <w:t xml:space="preserve"> “Про державну службу”; </w:t>
            </w:r>
            <w:r w:rsidRPr="00647700">
              <w:br/>
            </w:r>
            <w:hyperlink r:id="rId8" w:tgtFrame="_blank" w:history="1">
              <w:r w:rsidRPr="00647700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696D4C">
              <w:t xml:space="preserve"> “Про запобігання корупції” </w:t>
            </w:r>
          </w:p>
        </w:tc>
      </w:tr>
      <w:tr w:rsidR="00545570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0" w:rsidRPr="00647700" w:rsidRDefault="00545570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0" w:rsidRPr="00647700" w:rsidRDefault="00545570" w:rsidP="00647700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Знання законодавства у сфері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0" w:rsidRDefault="002B7801" w:rsidP="00545570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>Розуміння податкової системи, з</w:t>
            </w:r>
            <w:r w:rsidR="00545570">
              <w:t>нання:</w:t>
            </w:r>
          </w:p>
          <w:p w:rsidR="00545570" w:rsidRPr="00647700" w:rsidRDefault="00545570" w:rsidP="00545570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647700">
              <w:t>Податкового кодексу України;</w:t>
            </w:r>
          </w:p>
          <w:p w:rsidR="00545570" w:rsidRPr="00647700" w:rsidRDefault="00545570" w:rsidP="0054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Цивільн</w:t>
            </w:r>
            <w:r w:rsidR="0083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</w:t>
            </w:r>
            <w:r w:rsidR="0083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545570" w:rsidRPr="00647700" w:rsidRDefault="00545570" w:rsidP="00545570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Господарського кодексу України;</w:t>
            </w:r>
          </w:p>
          <w:p w:rsidR="00545570" w:rsidRPr="00647700" w:rsidRDefault="00545570" w:rsidP="00545570">
            <w:pPr>
              <w:spacing w:after="0" w:line="0" w:lineRule="atLeast"/>
              <w:ind w:left="99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законів про працю України;</w:t>
            </w:r>
          </w:p>
          <w:p w:rsidR="00545570" w:rsidRPr="00647700" w:rsidRDefault="00545570" w:rsidP="00545570">
            <w:pPr>
              <w:spacing w:after="0" w:line="0" w:lineRule="atLeast"/>
              <w:ind w:left="99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України з процедур банкрутства;</w:t>
            </w:r>
          </w:p>
          <w:p w:rsidR="00545570" w:rsidRPr="00647700" w:rsidRDefault="00545570" w:rsidP="00545570">
            <w:pPr>
              <w:spacing w:after="0" w:line="0" w:lineRule="atLeast"/>
              <w:ind w:left="99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545570" w:rsidRPr="00647700" w:rsidRDefault="00545570" w:rsidP="00545570">
            <w:pPr>
              <w:spacing w:after="0" w:line="0" w:lineRule="atLeast"/>
              <w:ind w:left="99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інформації»,</w:t>
            </w:r>
          </w:p>
          <w:p w:rsidR="00545570" w:rsidRPr="00647700" w:rsidRDefault="00545570" w:rsidP="00545570">
            <w:pPr>
              <w:spacing w:after="0" w:line="0" w:lineRule="atLeast"/>
              <w:ind w:left="142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збір та облік єдиного внеску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</w:t>
            </w:r>
            <w:proofErr w:type="spellEnd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язкове</w:t>
            </w:r>
            <w:proofErr w:type="spellEnd"/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державне соціальне страхування»;</w:t>
            </w:r>
          </w:p>
          <w:p w:rsidR="00545570" w:rsidRPr="00647700" w:rsidRDefault="00545570" w:rsidP="00545570">
            <w:pPr>
              <w:spacing w:after="0" w:line="0" w:lineRule="atLeast"/>
              <w:ind w:left="99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адміністративного судочинства України;</w:t>
            </w:r>
          </w:p>
          <w:p w:rsidR="00545570" w:rsidRPr="00647700" w:rsidRDefault="00545570" w:rsidP="00545570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647700">
              <w:rPr>
                <w:lang w:eastAsia="ru-RU"/>
              </w:rPr>
              <w:t xml:space="preserve">   процесуального законодавства</w:t>
            </w:r>
          </w:p>
        </w:tc>
      </w:tr>
      <w:tr w:rsidR="00DD2F8E" w:rsidRPr="00647700" w:rsidTr="006477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E" w:rsidRPr="00647700" w:rsidRDefault="00545570" w:rsidP="006477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1A1" w:rsidRPr="0064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E" w:rsidRPr="00647700" w:rsidRDefault="00DD2F8E" w:rsidP="00647700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з комп'ютером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E" w:rsidRPr="00647700" w:rsidRDefault="009901A1" w:rsidP="00647700">
            <w:pPr>
              <w:spacing w:after="0" w:line="0" w:lineRule="atLeast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64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64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64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</w:tc>
      </w:tr>
    </w:tbl>
    <w:p w:rsidR="004E652A" w:rsidRDefault="004E652A" w:rsidP="00647700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bookmarkStart w:id="3" w:name="_GoBack"/>
      <w:r w:rsidRPr="003B40B9">
        <w:rPr>
          <w:color w:val="FFFFFF" w:themeColor="background1"/>
        </w:rPr>
        <w:t>Начальник управління кадрового</w:t>
      </w:r>
    </w:p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3B40B9">
        <w:rPr>
          <w:color w:val="FFFFFF" w:themeColor="background1"/>
        </w:rPr>
        <w:t>забезпечення та розвитку персоналу                                         Вікторія РЄЗНІК</w:t>
      </w:r>
    </w:p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3B40B9">
        <w:rPr>
          <w:color w:val="FFFFFF" w:themeColor="background1"/>
        </w:rPr>
        <w:t>ПОГОДЖЕНО</w:t>
      </w:r>
    </w:p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3B40B9">
        <w:rPr>
          <w:color w:val="FFFFFF" w:themeColor="background1"/>
        </w:rPr>
        <w:t>В. о. завідувача</w:t>
      </w:r>
    </w:p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3B40B9">
        <w:rPr>
          <w:color w:val="FFFFFF" w:themeColor="background1"/>
        </w:rPr>
        <w:t>юридичного сектору                                                                   Любов ШАПОВАЛ</w:t>
      </w:r>
    </w:p>
    <w:bookmarkEnd w:id="3"/>
    <w:p w:rsidR="00647700" w:rsidRPr="003B40B9" w:rsidRDefault="00647700" w:rsidP="00647700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sectPr w:rsidR="00647700" w:rsidRPr="003B4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3FF"/>
    <w:multiLevelType w:val="multilevel"/>
    <w:tmpl w:val="314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6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20542"/>
    <w:multiLevelType w:val="multilevel"/>
    <w:tmpl w:val="C8B8B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1321A"/>
    <w:multiLevelType w:val="multilevel"/>
    <w:tmpl w:val="8D0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000F21"/>
    <w:rsid w:val="0015799A"/>
    <w:rsid w:val="001B10E6"/>
    <w:rsid w:val="00254749"/>
    <w:rsid w:val="002B7801"/>
    <w:rsid w:val="003B40B9"/>
    <w:rsid w:val="004234DA"/>
    <w:rsid w:val="00476768"/>
    <w:rsid w:val="004E652A"/>
    <w:rsid w:val="00545570"/>
    <w:rsid w:val="00647700"/>
    <w:rsid w:val="00696D4C"/>
    <w:rsid w:val="00776BDB"/>
    <w:rsid w:val="00783D9F"/>
    <w:rsid w:val="007A26EF"/>
    <w:rsid w:val="007B06E2"/>
    <w:rsid w:val="008351F0"/>
    <w:rsid w:val="009901A1"/>
    <w:rsid w:val="00BB2AFC"/>
    <w:rsid w:val="00D02B51"/>
    <w:rsid w:val="00DD2F8E"/>
    <w:rsid w:val="00DD541D"/>
    <w:rsid w:val="00EC2B86"/>
    <w:rsid w:val="00E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14</cp:revision>
  <cp:lastPrinted>2021-03-10T09:22:00Z</cp:lastPrinted>
  <dcterms:created xsi:type="dcterms:W3CDTF">2021-03-11T07:31:00Z</dcterms:created>
  <dcterms:modified xsi:type="dcterms:W3CDTF">2021-03-29T08:10:00Z</dcterms:modified>
</cp:coreProperties>
</file>